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4E5" w:rsidRPr="00D554E5" w:rsidRDefault="00736330" w:rsidP="00D554E5">
      <w:pPr>
        <w:widowControl/>
        <w:spacing w:line="420" w:lineRule="exact"/>
        <w:ind w:firstLineChars="200" w:firstLine="640"/>
        <w:jc w:val="center"/>
        <w:rPr>
          <w:rFonts w:ascii="sans-serif" w:hAnsi="sans-serif" w:cs="sans-serif" w:hint="eastAsia"/>
          <w:bCs/>
          <w:kern w:val="0"/>
          <w:sz w:val="32"/>
          <w:szCs w:val="32"/>
          <w:lang w:bidi="ar"/>
        </w:rPr>
      </w:pPr>
      <w:r w:rsidRPr="00D554E5">
        <w:rPr>
          <w:rFonts w:ascii="sans-serif" w:eastAsia="sans-serif" w:hAnsi="sans-serif" w:cs="sans-serif" w:hint="eastAsia"/>
          <w:bCs/>
          <w:kern w:val="0"/>
          <w:sz w:val="32"/>
          <w:szCs w:val="32"/>
          <w:lang w:bidi="ar"/>
        </w:rPr>
        <w:t>安庆职业技术学院</w:t>
      </w:r>
    </w:p>
    <w:p w:rsidR="00597289" w:rsidRPr="00D554E5" w:rsidRDefault="00736330" w:rsidP="00D554E5">
      <w:pPr>
        <w:widowControl/>
        <w:spacing w:line="420" w:lineRule="exact"/>
        <w:ind w:firstLineChars="200" w:firstLine="723"/>
        <w:jc w:val="center"/>
        <w:rPr>
          <w:rFonts w:ascii="sans-serif" w:eastAsia="sans-serif" w:hAnsi="sans-serif" w:cs="sans-serif"/>
          <w:b/>
          <w:bCs/>
          <w:kern w:val="0"/>
          <w:sz w:val="36"/>
          <w:szCs w:val="36"/>
          <w:lang w:bidi="ar"/>
        </w:rPr>
      </w:pPr>
      <w:r w:rsidRPr="00D554E5">
        <w:rPr>
          <w:rFonts w:ascii="sans-serif" w:eastAsia="sans-serif" w:hAnsi="sans-serif" w:cs="sans-serif"/>
          <w:b/>
          <w:bCs/>
          <w:kern w:val="0"/>
          <w:sz w:val="36"/>
          <w:szCs w:val="36"/>
          <w:lang w:bidi="ar"/>
        </w:rPr>
        <w:t>校院两级财务管理</w:t>
      </w:r>
      <w:r w:rsidR="00D554E5">
        <w:rPr>
          <w:rFonts w:ascii="sans-serif" w:hAnsi="sans-serif" w:cs="sans-serif" w:hint="eastAsia"/>
          <w:b/>
          <w:bCs/>
          <w:kern w:val="0"/>
          <w:sz w:val="36"/>
          <w:szCs w:val="36"/>
          <w:lang w:bidi="ar"/>
        </w:rPr>
        <w:t>职能划分</w:t>
      </w:r>
      <w:r w:rsidRPr="00D554E5">
        <w:rPr>
          <w:rFonts w:ascii="sans-serif" w:eastAsia="sans-serif" w:hAnsi="sans-serif" w:cs="sans-serif" w:hint="eastAsia"/>
          <w:b/>
          <w:bCs/>
          <w:kern w:val="0"/>
          <w:sz w:val="36"/>
          <w:szCs w:val="36"/>
          <w:lang w:bidi="ar"/>
        </w:rPr>
        <w:t>细则</w:t>
      </w:r>
    </w:p>
    <w:p w:rsidR="00597289" w:rsidRPr="00D554E5" w:rsidRDefault="00736330" w:rsidP="00D554E5">
      <w:pPr>
        <w:widowControl/>
        <w:spacing w:line="420" w:lineRule="exact"/>
        <w:ind w:firstLineChars="200" w:firstLine="640"/>
        <w:jc w:val="center"/>
        <w:rPr>
          <w:rFonts w:ascii="monospace" w:eastAsia="monospace" w:hAnsi="monospace" w:cs="monospace"/>
          <w:bCs/>
          <w:kern w:val="0"/>
          <w:sz w:val="32"/>
          <w:szCs w:val="32"/>
          <w:lang w:bidi="ar"/>
        </w:rPr>
      </w:pPr>
      <w:r w:rsidRPr="00D554E5">
        <w:rPr>
          <w:rFonts w:ascii="sans-serif" w:eastAsia="sans-serif" w:hAnsi="sans-serif" w:cs="sans-serif" w:hint="eastAsia"/>
          <w:bCs/>
          <w:kern w:val="0"/>
          <w:sz w:val="32"/>
          <w:szCs w:val="32"/>
          <w:lang w:bidi="ar"/>
        </w:rPr>
        <w:t>（</w:t>
      </w:r>
      <w:r w:rsidR="00F8572F">
        <w:rPr>
          <w:rFonts w:ascii="sans-serif" w:hAnsi="sans-serif" w:cs="sans-serif" w:hint="eastAsia"/>
          <w:bCs/>
          <w:kern w:val="0"/>
          <w:sz w:val="32"/>
          <w:szCs w:val="32"/>
          <w:lang w:bidi="ar"/>
        </w:rPr>
        <w:t>征求意见</w:t>
      </w:r>
      <w:r w:rsidRPr="00D554E5">
        <w:rPr>
          <w:rFonts w:ascii="sans-serif" w:eastAsia="sans-serif" w:hAnsi="sans-serif" w:cs="sans-serif" w:hint="eastAsia"/>
          <w:bCs/>
          <w:kern w:val="0"/>
          <w:sz w:val="32"/>
          <w:szCs w:val="32"/>
          <w:lang w:bidi="ar"/>
        </w:rPr>
        <w:t>稿）</w:t>
      </w:r>
    </w:p>
    <w:p w:rsidR="00597289" w:rsidRDefault="00597289">
      <w:pPr>
        <w:widowControl/>
        <w:spacing w:line="420" w:lineRule="exact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为推进校院两级财务管理体制改革，充分发挥二级学院办学积极性，增强办学活力，提升办学水平，实现高质量发展，结合学校实际，制定本细则。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校院两级财务管理实行“ 统一领导、分级管理、集中核算” 的管理模式。逐步构建权责明晰、规范运行的校院两级预算管理体系和经济责任体系。（</w:t>
      </w:r>
      <w:r>
        <w:rPr>
          <w:rFonts w:ascii="宋体" w:eastAsia="宋体" w:hAnsi="宋体" w:cs="宋体" w:hint="eastAsia"/>
          <w:kern w:val="0"/>
          <w:sz w:val="30"/>
          <w:szCs w:val="30"/>
        </w:rPr>
        <w:t>下文中：A为校级职能，B为二级学院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、马克思主义学院、公共基础部</w:t>
      </w:r>
      <w:r>
        <w:rPr>
          <w:rFonts w:ascii="宋体" w:eastAsia="宋体" w:hAnsi="宋体" w:cs="宋体" w:hint="eastAsia"/>
          <w:kern w:val="0"/>
          <w:sz w:val="30"/>
          <w:szCs w:val="30"/>
        </w:rPr>
        <w:t>职能）</w:t>
      </w:r>
    </w:p>
    <w:p w:rsidR="00597289" w:rsidRDefault="00736330">
      <w:pPr>
        <w:widowControl/>
        <w:numPr>
          <w:ilvl w:val="0"/>
          <w:numId w:val="1"/>
        </w:numPr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校院两级财务管理制度建设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A （财务处）：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1.宣传并执行国家财经纪律、法规和有关财务规章。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2.制定学校统一的财务管理制度。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3.建立内部控制体系，防范财务风险。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4.对各直属单位和院部执行国家财经政策、法规和学校财务制度等情况实施监督。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B (各院部)：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1.遵守国家财经纪律、法规和有关财务规章。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2.负责制定院部财务管理内部制度，明确财务管理职责与分工。</w:t>
      </w:r>
    </w:p>
    <w:p w:rsidR="00597289" w:rsidRDefault="00736330" w:rsidP="00DD53C7">
      <w:pPr>
        <w:widowControl/>
        <w:spacing w:line="420" w:lineRule="exact"/>
        <w:ind w:leftChars="200" w:left="420" w:firstLineChars="100" w:firstLine="3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3.建立并落实党政联席会议制度和“三重一大”制度，实行依法理财、民主公开。</w:t>
      </w:r>
    </w:p>
    <w:p w:rsidR="00597289" w:rsidRDefault="00736330">
      <w:pPr>
        <w:widowControl/>
        <w:spacing w:line="420" w:lineRule="exact"/>
        <w:ind w:firstLineChars="100" w:firstLine="301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二、 校院两级财力保障范围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A（财务处）：</w:t>
      </w:r>
    </w:p>
    <w:p w:rsidR="00597289" w:rsidRDefault="00736330" w:rsidP="00DD53C7">
      <w:pPr>
        <w:widowControl/>
        <w:numPr>
          <w:ilvl w:val="0"/>
          <w:numId w:val="2"/>
        </w:numPr>
        <w:spacing w:line="420" w:lineRule="exact"/>
        <w:ind w:leftChars="200" w:left="420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人员经费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包括各类人员工资及部门、直属单位绩效和奖励，各类人员社会保险费、住房公积金、职工福利费、工会经费，离退休费、生活补贴、抚恤金、遗属补助，</w:t>
      </w:r>
      <w:r>
        <w:rPr>
          <w:rFonts w:ascii="宋体" w:eastAsia="宋体" w:hAnsi="宋体" w:cs="宋体" w:hint="eastAsia"/>
          <w:sz w:val="30"/>
          <w:szCs w:val="30"/>
        </w:rPr>
        <w:t>行政岗位津贴、课时津贴、班主任与辅导员津贴等绩效工资，年终考核奖，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以及其他人员经费。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（二）日常运行费用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lastRenderedPageBreak/>
        <w:t>1.</w:t>
      </w:r>
      <w:r>
        <w:rPr>
          <w:rFonts w:ascii="宋体" w:eastAsia="宋体" w:hAnsi="宋体" w:cs="宋体" w:hint="eastAsia"/>
          <w:sz w:val="30"/>
          <w:szCs w:val="30"/>
        </w:rPr>
        <w:t>行政办公经费。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包括各职能部门及经费未包干管理直属单位的日常办公经费、交通费、邮电通信费、差旅费、会议费、外事费等。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2.后勤保障经费。包括水电费、基建及修缮费、绿化养护费、物业管理费、办公设备购置费、保卫消防经费等。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3.教学经费。包括师资进修培训费、人才项目经费、图书资料购置及管理费、计算机中心机房及校园网维护费等。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4.科研经费。包括科研活动及管理费、科研奖励等。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sz w:val="30"/>
          <w:szCs w:val="30"/>
        </w:rPr>
        <w:t>5.学生经费。包括学生迎新军训费、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学生各类奖助学金、征兵工作经费、学籍管理费、辅导员培训费、团委活动费等。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6.招生就业费。包括招生录取费、招生宣传费、创新创业费等。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7.扩招专项经费。包括扩招各分院包干经费、招生宣传费、线上教学平台费等。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8.其他公用经费。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（三）项目建设费用。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包括学校基础设施建设与改造费用、零星基建与维修、实验实训室、实训基地、数字化校园及其他项目建设费用。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B (各院部)：</w:t>
      </w:r>
    </w:p>
    <w:p w:rsidR="00597289" w:rsidRDefault="00736330">
      <w:pPr>
        <w:numPr>
          <w:ilvl w:val="0"/>
          <w:numId w:val="3"/>
        </w:numPr>
        <w:spacing w:line="420" w:lineRule="exact"/>
        <w:ind w:firstLineChars="200" w:firstLine="602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  <w:lang w:bidi="ar"/>
        </w:rPr>
        <w:t>教学管理经费支出</w:t>
      </w:r>
    </w:p>
    <w:p w:rsidR="00597289" w:rsidRDefault="00736330">
      <w:pPr>
        <w:numPr>
          <w:ilvl w:val="0"/>
          <w:numId w:val="4"/>
        </w:numPr>
        <w:spacing w:line="42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教学业务费。包括教师教研活动费、学术活动费、培训费、差旅费等</w:t>
      </w:r>
      <w:bookmarkStart w:id="0" w:name="_Hlk66609174"/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。</w:t>
      </w:r>
    </w:p>
    <w:p w:rsidR="00597289" w:rsidRDefault="00736330">
      <w:pPr>
        <w:numPr>
          <w:ilvl w:val="0"/>
          <w:numId w:val="4"/>
        </w:numPr>
        <w:spacing w:line="42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实验实训费。包括学生实习实训耗材费、教学仪器及多媒体设备维修费。</w:t>
      </w:r>
    </w:p>
    <w:p w:rsidR="00597289" w:rsidRDefault="00736330">
      <w:pPr>
        <w:numPr>
          <w:ilvl w:val="0"/>
          <w:numId w:val="4"/>
        </w:numPr>
        <w:spacing w:line="42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扩招生教学经费</w:t>
      </w:r>
      <w:bookmarkEnd w:id="0"/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。包括扩招生教师课时津贴、人才培养</w:t>
      </w:r>
    </w:p>
    <w:p w:rsidR="00597289" w:rsidRDefault="00736330">
      <w:pPr>
        <w:spacing w:line="420" w:lineRule="exac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方案制定、专业课程教学资源建设费、组织课程考试考核费、教学研究、教师培训等。</w:t>
      </w:r>
    </w:p>
    <w:p w:rsidR="00597289" w:rsidRDefault="00736330">
      <w:pPr>
        <w:numPr>
          <w:ilvl w:val="0"/>
          <w:numId w:val="3"/>
        </w:numPr>
        <w:spacing w:line="420" w:lineRule="exact"/>
        <w:ind w:firstLineChars="200" w:firstLine="602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  <w:lang w:bidi="ar"/>
        </w:rPr>
        <w:t>学生管理经费支出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1.学生活动与管理费。包括学生文体活动、社团活动、邮寄、</w:t>
      </w:r>
    </w:p>
    <w:p w:rsidR="00597289" w:rsidRDefault="00736330">
      <w:pPr>
        <w:spacing w:line="420" w:lineRule="exac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市内交通费等</w:t>
      </w:r>
      <w:bookmarkStart w:id="1" w:name="_Hlk66609338"/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2.实习管理费。包括学生参加校内外实习发生的交通费、差旅费等。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3.毕业生就业费</w:t>
      </w:r>
      <w:bookmarkEnd w:id="1"/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。包括开展毕业生就业工作发生的差旅费、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lastRenderedPageBreak/>
        <w:t>交通费、招聘会费用等</w:t>
      </w:r>
      <w:r>
        <w:rPr>
          <w:rFonts w:ascii="宋体" w:eastAsia="宋体" w:hAnsi="宋体" w:cs="宋体" w:hint="eastAsia"/>
          <w:sz w:val="30"/>
          <w:szCs w:val="30"/>
        </w:rPr>
        <w:t>。</w:t>
      </w:r>
    </w:p>
    <w:p w:rsidR="00597289" w:rsidRDefault="00736330">
      <w:pPr>
        <w:spacing w:line="42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4.校外扩招生学生管理经费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  <w:lang w:bidi="ar"/>
        </w:rPr>
        <w:t>。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包括组织开展校外扩招学生各类活动发生的费用。</w:t>
      </w:r>
    </w:p>
    <w:p w:rsidR="00597289" w:rsidRDefault="00736330">
      <w:pPr>
        <w:widowControl/>
        <w:snapToGrid w:val="0"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  <w:lang w:bidi="ar"/>
        </w:rPr>
        <w:t>（三）公务管理经费支出</w:t>
      </w:r>
    </w:p>
    <w:p w:rsidR="00597289" w:rsidRDefault="00736330">
      <w:pPr>
        <w:widowControl/>
        <w:snapToGrid w:val="0"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1.日常办公费。包括购置日常办公用品、邮寄通讯费等。</w:t>
      </w:r>
    </w:p>
    <w:p w:rsidR="00597289" w:rsidRDefault="00736330">
      <w:pPr>
        <w:widowControl/>
        <w:snapToGrid w:val="0"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2.办公设备与家具及课桌椅维修费、窗帘及其他物品维修费。</w:t>
      </w:r>
    </w:p>
    <w:p w:rsidR="00597289" w:rsidRDefault="00736330">
      <w:pPr>
        <w:widowControl/>
        <w:snapToGrid w:val="0"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3.差旅费。</w:t>
      </w:r>
    </w:p>
    <w:p w:rsidR="00597289" w:rsidRDefault="00736330">
      <w:pPr>
        <w:widowControl/>
        <w:snapToGrid w:val="0"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  <w:lang w:bidi="ar"/>
        </w:rPr>
        <w:t>4.业务接待费(含工作餐)。</w:t>
      </w:r>
    </w:p>
    <w:p w:rsidR="00597289" w:rsidRDefault="00736330">
      <w:pPr>
        <w:widowControl/>
        <w:snapToGrid w:val="0"/>
        <w:spacing w:line="420" w:lineRule="exact"/>
        <w:ind w:firstLineChars="200" w:firstLine="602"/>
        <w:jc w:val="left"/>
        <w:rPr>
          <w:rFonts w:ascii="新宋体" w:eastAsia="新宋体" w:hAnsi="新宋体" w:cs="新宋体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  <w:lang w:bidi="ar"/>
        </w:rPr>
        <w:t>（四）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  <w:lang w:bidi="ar"/>
        </w:rPr>
        <w:t>基层党建经费支出</w:t>
      </w:r>
    </w:p>
    <w:p w:rsidR="00597289" w:rsidRDefault="00736330">
      <w:pPr>
        <w:widowControl/>
        <w:snapToGrid w:val="0"/>
        <w:spacing w:line="420" w:lineRule="exact"/>
        <w:ind w:firstLineChars="200" w:firstLine="600"/>
        <w:jc w:val="left"/>
        <w:rPr>
          <w:rFonts w:ascii="新宋体" w:eastAsia="新宋体" w:hAnsi="新宋体" w:cs="新宋体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  <w:lang w:bidi="ar"/>
        </w:rPr>
        <w:t>包括院部党总支及支部组织开展党建活动发生的相关支出。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三、校院两级预算管理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A（财务处）：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1.建立健全学校预算管理体制和运行机制。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2.制订和完善学校预算管理办法及其实施细则。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3.根据《预算法》和上级部门要求，编制学校年度部门预算。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4.根据学校有关文件和规定，核定各院部年度预算控制数。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5.结合学校各直属单位预算申报情况，按照“量入为出、收支平衡；保证重点，兼顾一般”原则，编制学校年度财务收支预算。</w:t>
      </w:r>
    </w:p>
    <w:p w:rsidR="00597289" w:rsidRDefault="00736330">
      <w:pPr>
        <w:widowControl/>
        <w:spacing w:line="420" w:lineRule="exact"/>
        <w:ind w:leftChars="304" w:left="638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6.组织学校预算实施，监督预算执行，分析并报告学校预算</w:t>
      </w:r>
    </w:p>
    <w:p w:rsidR="00597289" w:rsidRDefault="00736330">
      <w:pPr>
        <w:widowControl/>
        <w:spacing w:line="420" w:lineRule="exact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执行情况。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B (各院部)：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1.根据学校核定预算控制数，结合院部实际，负责编制院部年度预算收支预算，并报院部党政联席会议研究。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2.将研究通过的院部年度预算收支预算</w:t>
      </w:r>
      <w:r>
        <w:rPr>
          <w:rFonts w:ascii="宋体" w:eastAsia="宋体" w:hAnsi="宋体" w:cs="宋体" w:hint="eastAsia"/>
          <w:color w:val="000000"/>
          <w:sz w:val="30"/>
          <w:szCs w:val="30"/>
        </w:rPr>
        <w:t>按要求报送学校财务等有关部门审核报备。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3.院部预算一经确定，一般不得随意调整，不得随意改变预算项目、内容和扩大支出范围。确需调整的，由所在学院党政联席会议审议通过，报学校财务部门审核后执行。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4. 学院在预算执行中，不得坐收坐支和设立“ 小金库”；不得违规超标准、超范围支出，不得任意改变资金用途。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四、校院两级财务核算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lastRenderedPageBreak/>
        <w:t>A（财务处）：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1.积极筹措办学经费，对预算外资金实行收支两条线管理，负责全校学生学费及其他各项费用的统一收缴工作。</w:t>
      </w:r>
    </w:p>
    <w:p w:rsidR="00597289" w:rsidRDefault="00736330">
      <w:pPr>
        <w:widowControl/>
        <w:spacing w:line="420" w:lineRule="exact"/>
        <w:ind w:firstLine="602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2.集中核算全校财务收支，实行统一管理，分级核算。</w:t>
      </w:r>
    </w:p>
    <w:p w:rsidR="00597289" w:rsidRDefault="00736330">
      <w:pPr>
        <w:widowControl/>
        <w:spacing w:line="420" w:lineRule="exact"/>
        <w:ind w:firstLine="602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3.负责办理学校各项往来收支款项的结算支付。</w:t>
      </w:r>
    </w:p>
    <w:p w:rsidR="00597289" w:rsidRDefault="00736330">
      <w:pPr>
        <w:widowControl/>
        <w:spacing w:line="420" w:lineRule="exact"/>
        <w:ind w:firstLine="602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4.负责审核各类报销单据的合法性、真实性、完整性。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B (各院部)：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1.遵守并执行学校财务统一核算制度，杜绝小金库等违规行为。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2.加强内部管理，实行主要负责人“一支笔”审批制度。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3.明确或指派1名报账员，负责本单位财务报账、预算管理以及与校财务部门对接工作。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五、校院两级预算绩效管理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A（财务处）：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1.在学校预算绩效管理领导小组领导下，具体组织开展全校预算绩效评价工作，负责建立完善学校预算绩效评价方面制度和实施细则。</w:t>
      </w:r>
    </w:p>
    <w:p w:rsidR="00597289" w:rsidRDefault="00736330">
      <w:pPr>
        <w:pStyle w:val="a5"/>
        <w:spacing w:before="0" w:beforeAutospacing="0" w:after="0" w:afterAutospacing="0" w:line="420" w:lineRule="exact"/>
        <w:ind w:firstLine="555"/>
        <w:rPr>
          <w:sz w:val="30"/>
          <w:szCs w:val="30"/>
        </w:rPr>
      </w:pPr>
      <w:r>
        <w:rPr>
          <w:rFonts w:hint="eastAsia"/>
          <w:sz w:val="30"/>
          <w:szCs w:val="30"/>
          <w:lang w:bidi="ar"/>
        </w:rPr>
        <w:t>2.</w:t>
      </w:r>
      <w:r>
        <w:rPr>
          <w:rFonts w:hint="eastAsia"/>
          <w:color w:val="000000"/>
          <w:sz w:val="30"/>
          <w:szCs w:val="30"/>
          <w:shd w:val="clear" w:color="auto" w:fill="FFFFFF"/>
        </w:rPr>
        <w:t>建立完善学校预算绩效考核指标和标准体系。</w:t>
      </w:r>
    </w:p>
    <w:p w:rsidR="00597289" w:rsidRDefault="00736330">
      <w:pPr>
        <w:pStyle w:val="a5"/>
        <w:spacing w:before="0" w:beforeAutospacing="0" w:after="0" w:afterAutospacing="0" w:line="420" w:lineRule="exact"/>
        <w:ind w:firstLine="555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  <w:shd w:val="clear" w:color="auto" w:fill="FFFFFF"/>
        </w:rPr>
        <w:t>3.组织和指导各直属单位和部门开展预算绩效管理与考核工作，对实施情况进行监督。</w:t>
      </w:r>
    </w:p>
    <w:p w:rsidR="00597289" w:rsidRDefault="00736330">
      <w:pPr>
        <w:pStyle w:val="a5"/>
        <w:spacing w:before="0" w:beforeAutospacing="0" w:after="0" w:afterAutospacing="0" w:line="420" w:lineRule="exact"/>
        <w:ind w:firstLine="555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  <w:shd w:val="clear" w:color="auto" w:fill="FFFFFF"/>
        </w:rPr>
        <w:t>4.建立绩效结果与预算安排挂钩机制，健全绩效结果反馈及督促整改机制。</w:t>
      </w:r>
    </w:p>
    <w:p w:rsidR="00597289" w:rsidRDefault="00736330">
      <w:pPr>
        <w:pStyle w:val="a5"/>
        <w:spacing w:before="0" w:beforeAutospacing="0" w:after="0" w:afterAutospacing="0" w:line="420" w:lineRule="exact"/>
        <w:ind w:firstLine="555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  <w:shd w:val="clear" w:color="auto" w:fill="FFFFFF"/>
        </w:rPr>
        <w:t>5.根据绩效评价需要，适时组织引进第三方对各项目资金进行绩效评价。</w:t>
      </w:r>
    </w:p>
    <w:p w:rsidR="00597289" w:rsidRDefault="00736330">
      <w:pPr>
        <w:widowControl/>
        <w:spacing w:line="420" w:lineRule="exact"/>
        <w:ind w:firstLineChars="200" w:firstLine="602"/>
        <w:jc w:val="left"/>
        <w:rPr>
          <w:rFonts w:ascii="宋体" w:eastAsia="宋体" w:hAnsi="宋体" w:cs="宋体"/>
          <w:b/>
          <w:bCs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"/>
        </w:rPr>
        <w:t>B (各院部)：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1.编制预算建设项目绩效目标。按照“谁使用资金，谁编制绩效目标”的原则，对学院立项建设项目编制《绩效目标申报表》。</w:t>
      </w:r>
    </w:p>
    <w:p w:rsidR="00597289" w:rsidRDefault="00736330">
      <w:pPr>
        <w:pStyle w:val="a5"/>
        <w:spacing w:before="0" w:beforeAutospacing="0" w:after="0" w:afterAutospacing="0" w:line="420" w:lineRule="exact"/>
        <w:ind w:firstLine="555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  <w:shd w:val="clear" w:color="auto" w:fill="FFFFFF"/>
        </w:rPr>
        <w:t>2.强化项目预算绩效管理，推进项目预算执行进度和绩效目标如期完成。</w:t>
      </w:r>
    </w:p>
    <w:p w:rsidR="00597289" w:rsidRDefault="00736330">
      <w:pPr>
        <w:widowControl/>
        <w:spacing w:line="420" w:lineRule="exact"/>
        <w:ind w:firstLineChars="200" w:firstLine="600"/>
        <w:jc w:val="left"/>
        <w:rPr>
          <w:rFonts w:ascii="宋体" w:eastAsia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3.组织开展院部年度预算与建设项目绩效自评工作。</w:t>
      </w:r>
    </w:p>
    <w:p w:rsidR="00597289" w:rsidRDefault="00736330">
      <w:pPr>
        <w:spacing w:line="420" w:lineRule="exact"/>
        <w:ind w:firstLineChars="100" w:firstLine="301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kern w:val="0"/>
          <w:sz w:val="30"/>
          <w:szCs w:val="30"/>
        </w:rPr>
        <w:t>六、本细则自</w:t>
      </w:r>
      <w:r w:rsidR="00F8572F">
        <w:rPr>
          <w:rFonts w:ascii="宋体" w:eastAsia="宋体" w:hAnsi="宋体" w:cs="宋体" w:hint="eastAsia"/>
          <w:b/>
          <w:kern w:val="0"/>
          <w:sz w:val="30"/>
          <w:szCs w:val="30"/>
        </w:rPr>
        <w:t>正式发布之</w:t>
      </w:r>
      <w:bookmarkStart w:id="2" w:name="_GoBack"/>
      <w:bookmarkEnd w:id="2"/>
      <w:r>
        <w:rPr>
          <w:rFonts w:ascii="宋体" w:eastAsia="宋体" w:hAnsi="宋体" w:cs="宋体" w:hint="eastAsia"/>
          <w:b/>
          <w:kern w:val="0"/>
          <w:sz w:val="30"/>
          <w:szCs w:val="30"/>
        </w:rPr>
        <w:t>日起实施，由财务处负责解释。</w:t>
      </w:r>
    </w:p>
    <w:sectPr w:rsidR="0059728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F88" w:rsidRDefault="00D31F88">
      <w:r>
        <w:separator/>
      </w:r>
    </w:p>
  </w:endnote>
  <w:endnote w:type="continuationSeparator" w:id="0">
    <w:p w:rsidR="00D31F88" w:rsidRDefault="00D3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ns-serif">
    <w:altName w:val="Segoe Print"/>
    <w:charset w:val="00"/>
    <w:family w:val="auto"/>
    <w:pitch w:val="default"/>
  </w:font>
  <w:font w:name="monospace">
    <w:altName w:val="Segoe Print"/>
    <w:charset w:val="00"/>
    <w:family w:val="auto"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289" w:rsidRDefault="0073633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97289" w:rsidRDefault="0073633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8572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97289" w:rsidRDefault="0073633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8572F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F88" w:rsidRDefault="00D31F88">
      <w:r>
        <w:separator/>
      </w:r>
    </w:p>
  </w:footnote>
  <w:footnote w:type="continuationSeparator" w:id="0">
    <w:p w:rsidR="00D31F88" w:rsidRDefault="00D31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5BBC"/>
    <w:multiLevelType w:val="singleLevel"/>
    <w:tmpl w:val="26005BBC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359BE0E1"/>
    <w:multiLevelType w:val="singleLevel"/>
    <w:tmpl w:val="359BE0E1"/>
    <w:lvl w:ilvl="0">
      <w:start w:val="1"/>
      <w:numFmt w:val="decimal"/>
      <w:suff w:val="space"/>
      <w:lvlText w:val="%1."/>
      <w:lvlJc w:val="left"/>
    </w:lvl>
  </w:abstractNum>
  <w:abstractNum w:abstractNumId="2">
    <w:nsid w:val="7537FA59"/>
    <w:multiLevelType w:val="singleLevel"/>
    <w:tmpl w:val="7537FA5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66CF377"/>
    <w:multiLevelType w:val="singleLevel"/>
    <w:tmpl w:val="766CF37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89"/>
    <w:rsid w:val="00597289"/>
    <w:rsid w:val="00736330"/>
    <w:rsid w:val="00D31F88"/>
    <w:rsid w:val="00D554E5"/>
    <w:rsid w:val="00DD53C7"/>
    <w:rsid w:val="00F8572F"/>
    <w:rsid w:val="018615A4"/>
    <w:rsid w:val="02E74A5B"/>
    <w:rsid w:val="053E7491"/>
    <w:rsid w:val="08C13C62"/>
    <w:rsid w:val="095632CB"/>
    <w:rsid w:val="09B84792"/>
    <w:rsid w:val="0A1C1C22"/>
    <w:rsid w:val="0BAD5A9D"/>
    <w:rsid w:val="0BCC4031"/>
    <w:rsid w:val="0C616570"/>
    <w:rsid w:val="0CF6023E"/>
    <w:rsid w:val="0D527700"/>
    <w:rsid w:val="0EED3E53"/>
    <w:rsid w:val="11521946"/>
    <w:rsid w:val="13213621"/>
    <w:rsid w:val="14897C6C"/>
    <w:rsid w:val="14FF2260"/>
    <w:rsid w:val="18FF2959"/>
    <w:rsid w:val="1A984A25"/>
    <w:rsid w:val="27B372C1"/>
    <w:rsid w:val="2849619A"/>
    <w:rsid w:val="29333E27"/>
    <w:rsid w:val="29414197"/>
    <w:rsid w:val="2B2C5CF9"/>
    <w:rsid w:val="2DB04F2E"/>
    <w:rsid w:val="2F4764E8"/>
    <w:rsid w:val="2F9D0983"/>
    <w:rsid w:val="33AF238A"/>
    <w:rsid w:val="371E1333"/>
    <w:rsid w:val="3974659B"/>
    <w:rsid w:val="3DC73745"/>
    <w:rsid w:val="3E5E061A"/>
    <w:rsid w:val="427D0DA1"/>
    <w:rsid w:val="43871100"/>
    <w:rsid w:val="466148D0"/>
    <w:rsid w:val="46B2400C"/>
    <w:rsid w:val="47A12AF5"/>
    <w:rsid w:val="481471A9"/>
    <w:rsid w:val="4E840D8C"/>
    <w:rsid w:val="4F6811EF"/>
    <w:rsid w:val="53980210"/>
    <w:rsid w:val="54296F88"/>
    <w:rsid w:val="5ADA49B8"/>
    <w:rsid w:val="5B6A3C80"/>
    <w:rsid w:val="5BEF471B"/>
    <w:rsid w:val="5BF7258A"/>
    <w:rsid w:val="5CBA17C6"/>
    <w:rsid w:val="5CFD5D70"/>
    <w:rsid w:val="603C1381"/>
    <w:rsid w:val="667A0828"/>
    <w:rsid w:val="6816654B"/>
    <w:rsid w:val="69D708C6"/>
    <w:rsid w:val="6BD150DD"/>
    <w:rsid w:val="6C866440"/>
    <w:rsid w:val="6EC21545"/>
    <w:rsid w:val="6F585BEE"/>
    <w:rsid w:val="70C54171"/>
    <w:rsid w:val="74AC0B04"/>
    <w:rsid w:val="76AC7C58"/>
    <w:rsid w:val="783308E7"/>
    <w:rsid w:val="788B23A7"/>
    <w:rsid w:val="7A2721BA"/>
    <w:rsid w:val="7B3302BB"/>
    <w:rsid w:val="7CE72610"/>
    <w:rsid w:val="7E9A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FollowedHyperlink"/>
    <w:basedOn w:val="a0"/>
    <w:qFormat/>
    <w:rPr>
      <w:rFonts w:ascii="宋体" w:eastAsia="宋体" w:hAnsi="宋体" w:cs="宋体" w:hint="eastAsia"/>
      <w:color w:val="003399"/>
      <w:sz w:val="18"/>
      <w:szCs w:val="18"/>
      <w:u w:val="none"/>
    </w:rPr>
  </w:style>
  <w:style w:type="character" w:styleId="a8">
    <w:name w:val="Hyperlink"/>
    <w:basedOn w:val="a0"/>
    <w:qFormat/>
    <w:rPr>
      <w:rFonts w:ascii="宋体" w:eastAsia="宋体" w:hAnsi="宋体" w:cs="宋体" w:hint="eastAsia"/>
      <w:color w:val="003399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FollowedHyperlink"/>
    <w:basedOn w:val="a0"/>
    <w:qFormat/>
    <w:rPr>
      <w:rFonts w:ascii="宋体" w:eastAsia="宋体" w:hAnsi="宋体" w:cs="宋体" w:hint="eastAsia"/>
      <w:color w:val="003399"/>
      <w:sz w:val="18"/>
      <w:szCs w:val="18"/>
      <w:u w:val="none"/>
    </w:rPr>
  </w:style>
  <w:style w:type="character" w:styleId="a8">
    <w:name w:val="Hyperlink"/>
    <w:basedOn w:val="a0"/>
    <w:qFormat/>
    <w:rPr>
      <w:rFonts w:ascii="宋体" w:eastAsia="宋体" w:hAnsi="宋体" w:cs="宋体" w:hint="eastAsia"/>
      <w:color w:val="003399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363</Words>
  <Characters>2075</Characters>
  <Application>Microsoft Office Word</Application>
  <DocSecurity>0</DocSecurity>
  <Lines>17</Lines>
  <Paragraphs>4</Paragraphs>
  <ScaleCrop>false</ScaleCrop>
  <Company>aqzy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aq</cp:lastModifiedBy>
  <cp:revision>4</cp:revision>
  <dcterms:created xsi:type="dcterms:W3CDTF">2021-03-16T01:31:00Z</dcterms:created>
  <dcterms:modified xsi:type="dcterms:W3CDTF">2021-04-07T01:11:00Z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2D55B88E10414D238B66F32EC1973F78</vt:lpwstr>
  </property>
</Properties>
</file>